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4951" w:type="pct"/>
        <w:tblInd w:w="108" w:type="dxa"/>
        <w:tblLook w:val="04A0"/>
      </w:tblPr>
      <w:tblGrid>
        <w:gridCol w:w="1005"/>
        <w:gridCol w:w="2114"/>
        <w:gridCol w:w="283"/>
        <w:gridCol w:w="1416"/>
        <w:gridCol w:w="1893"/>
        <w:gridCol w:w="980"/>
        <w:gridCol w:w="2941"/>
        <w:gridCol w:w="248"/>
      </w:tblGrid>
      <w:tr w:rsidR="00AD7F00" w:rsidRPr="00AD7F00" w:rsidTr="00AD7F00">
        <w:trPr>
          <w:trHeight w:val="255"/>
        </w:trPr>
        <w:tc>
          <w:tcPr>
            <w:tcW w:w="100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Level</w:t>
            </w:r>
          </w:p>
        </w:tc>
        <w:tc>
          <w:tcPr>
            <w:tcW w:w="2114"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8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3309"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Kabupaten Musi Banyu Asin </w:t>
            </w:r>
          </w:p>
        </w:tc>
        <w:tc>
          <w:tcPr>
            <w:tcW w:w="98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94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3119"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Komponen</w:t>
            </w:r>
          </w:p>
        </w:tc>
        <w:tc>
          <w:tcPr>
            <w:tcW w:w="28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3309"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Kelompok Masyarakat Sipil</w:t>
            </w:r>
          </w:p>
        </w:tc>
        <w:tc>
          <w:tcPr>
            <w:tcW w:w="98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94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100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2114"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28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16"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9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98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294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24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3402" w:type="dxa"/>
            <w:gridSpan w:val="3"/>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7230"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I. Perencanaan Kehutanan dan Tata Ruang </w:t>
            </w:r>
          </w:p>
        </w:tc>
        <w:tc>
          <w:tcPr>
            <w:tcW w:w="24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315"/>
        </w:trPr>
        <w:tc>
          <w:tcPr>
            <w:tcW w:w="3119"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28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478"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aktivis-LSM yang aktif memberikan masukan pada perencanaan wilayah dan kehutanan</w:t>
            </w:r>
          </w:p>
        </w:tc>
      </w:tr>
      <w:tr w:rsidR="00AD7F00" w:rsidRPr="00AD7F00" w:rsidTr="00AD7F00">
        <w:trPr>
          <w:trHeight w:val="255"/>
        </w:trPr>
        <w:tc>
          <w:tcPr>
            <w:tcW w:w="3119"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28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230" w:type="dxa"/>
            <w:gridSpan w:val="4"/>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24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bl>
    <w:p w:rsidR="00D74DB4" w:rsidRDefault="00D74DB4"/>
    <w:tbl>
      <w:tblPr>
        <w:tblW w:w="4953" w:type="pct"/>
        <w:tblInd w:w="103" w:type="dxa"/>
        <w:tblLayout w:type="fixed"/>
        <w:tblLook w:val="04A0"/>
      </w:tblPr>
      <w:tblGrid>
        <w:gridCol w:w="757"/>
        <w:gridCol w:w="1408"/>
        <w:gridCol w:w="1575"/>
        <w:gridCol w:w="1143"/>
        <w:gridCol w:w="1501"/>
        <w:gridCol w:w="1249"/>
        <w:gridCol w:w="1870"/>
        <w:gridCol w:w="1382"/>
      </w:tblGrid>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29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CIa1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aktivis-LSM yang aktif memberikan masukan pada perencanaan wilayah dan kehutanan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aktivis-LSM yang aktif memberikan masukan pada perencanaan wilayah dan kehu-tanan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Di Musi Banyu Asin  LSM yang aktif adalah LSM Nasional dan LSM Asing seperti WBH, Wet Land. Sedang kan LSM local kurang memadai dalam hal memberikan masukan pada perencanaan wilayah. Karena mereka bukan ahli kehutanan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LSM yang memberikan masukan pada perencanaan wilayah</w:t>
            </w:r>
            <w:r w:rsidRPr="00AD7F00">
              <w:rPr>
                <w:rFonts w:ascii="Times New Roman" w:eastAsia="Times New Roman" w:hAnsi="Times New Roman" w:cs="Times New Roman"/>
                <w:color w:val="000000"/>
                <w:sz w:val="20"/>
                <w:szCs w:val="20"/>
                <w:lang w:eastAsia="id-ID"/>
              </w:rPr>
              <w:br/>
              <w:t>Tidak ada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Informan menyebutkan 5-6  aktifis yang ada dalam 4 LSM, yakni : Patriot Bela Bangsa, Poskokatara, Front Demokrasi Rakyat, Environmental Parlement Watch (informan juga pengurus LSM ini),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aktifis LSM yang aktif memberikan masukan  pada perencanaan wilayah, jumlahnya kurang memadai. Informan menyebutkan  aktifis LSM PBB, Poskokatara, Lpers ( 3 aktifias)</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w:t>
            </w:r>
            <w:r w:rsidRPr="00AD7F00">
              <w:rPr>
                <w:rFonts w:ascii="Times New Roman" w:eastAsia="Times New Roman" w:hAnsi="Times New Roman" w:cs="Times New Roman"/>
                <w:color w:val="000000"/>
                <w:sz w:val="20"/>
                <w:szCs w:val="20"/>
                <w:lang w:eastAsia="id-ID"/>
              </w:rPr>
              <w:lastRenderedPageBreak/>
              <w:t xml:space="preserve">di kabupaten Musi Banyu Asin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 Jumlah aktivis –LSM yang memberikan masukan perencanaan wilayah dan kehutanan kurang memadai. Sepengetahuan Informan hanya WALHI yang getol menyuarakan isu lingkungan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27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CIa2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Materi yang disampaikan akti-vis LSM dalam pertemuan pem-bahasan perencanaan wilayah dan kehutanan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materi yang disampaikan aktivis-LSM dalam pertemuan pembahasan perencanaan wilayah dan kehutanan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Dinas Kehutanan tidak mempunyai arsip tetang ini, ada dokumen yang bisa diakses adalah lapiran Funding GTZ tentang kegiatan mereka  MRPP</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Materi yang diberikan oleh LSM Nasional dan LSM Asing cukup memadai dan mereka berdasarkan data dan fakta hasil penelitian.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berapa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LSM yang memberikan masukan pada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27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Bahan Presentasi LSM dalam Rakor RTRW</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memberikan bahan presentasinya dalam beberapa kegiatan, antara lain ; status lahan, Program rehabilitasi lahan, Reboisasi, status hutan, dan status pengelolaan lahan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yang secara reguler mencatat berepa jumlah aktifis yang akrif memberikan masukan dalam perencanaan wilayah. Dokumen yang bisa diakses untuk ini hanya laporan Funding GTZ tentang kegiatan MRPP di kabupaten Musi Banyu Asin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Materi yang diberikan oleh LSM memadai. Materi disampaikan dalam bentuk lisan dan ada paparan.  Selain kritik LSM juga menyampaikan saran.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4</w:t>
            </w:r>
          </w:p>
        </w:tc>
      </w:tr>
      <w:tr w:rsidR="00AD7F00" w:rsidRPr="00AD7F00" w:rsidTr="00AD7F00">
        <w:trPr>
          <w:trHeight w:val="229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PILOT PROYEK REDD PT REKI DITOLAK PETANI DAN MASYARAKAT ADAT DI MUSI BANYUASIN</w:t>
            </w:r>
            <w:r w:rsidRPr="00AD7F00">
              <w:rPr>
                <w:rFonts w:ascii="Times New Roman" w:eastAsia="Times New Roman" w:hAnsi="Times New Roman" w:cs="Times New Roman"/>
                <w:color w:val="000000"/>
                <w:sz w:val="20"/>
                <w:szCs w:val="20"/>
                <w:lang w:eastAsia="id-ID"/>
              </w:rPr>
              <w:br/>
              <w:t xml:space="preserve">by SPORANEWS on Wednesday, 27 January 2010 ;  Sengketa Lahan Harus Tuntas; Sriwijya Pos  14 Juli 2007;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Akktifis yang memnyampaikan materi dengan bahasa yang kurang dipahami oleh masyarakat umum, sering menggunakan jargon khusus, seperti masalah sustainability, environment, climate change dsb</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00"/>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b. Jumlah akademisi yang aktif memberikan masukan pada perencanaan wilayah dan kehutanan</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(Aktivis LSM, Akademisi, Pemerintah: PU &amp; Kehutanan)</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29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CIb1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akademisi yang aktif memberikan masukan pada perencanaan wilayah dan kehutanan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akademisi yang aktif memberikan masukan pada perencanaan wilayah dan kehu-tanan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dari dinas kehutanan tentang ini yang ada hanya laporan Funding GTZ tetang kegiatan MRPP yang didalamnya menyebutkan keterlibatan </w:t>
            </w:r>
            <w:r w:rsidRPr="00AD7F00">
              <w:rPr>
                <w:rFonts w:ascii="Times New Roman" w:eastAsia="Times New Roman" w:hAnsi="Times New Roman" w:cs="Times New Roman"/>
                <w:color w:val="000000"/>
                <w:sz w:val="20"/>
                <w:szCs w:val="20"/>
                <w:lang w:eastAsia="id-ID"/>
              </w:rPr>
              <w:lastRenderedPageBreak/>
              <w:t>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Di Musi Banyu Asin Ahli/akademisi kehutanan kurang.  Akademisi yang dating hanya untuk penelitian, dating minta izin penelitian, mengumpulkan data, dan tidak pernah memberikan feedback hasil penelitiannya pada Dinas kehutanan. Informan </w:t>
            </w:r>
            <w:r w:rsidRPr="00AD7F00">
              <w:rPr>
                <w:rFonts w:ascii="Times New Roman" w:eastAsia="Times New Roman" w:hAnsi="Times New Roman" w:cs="Times New Roman"/>
                <w:color w:val="000000"/>
                <w:sz w:val="20"/>
                <w:szCs w:val="20"/>
                <w:lang w:eastAsia="id-ID"/>
              </w:rPr>
              <w:lastRenderedPageBreak/>
              <w:t>juga menanyakan untuk apa penelitian ini? Apaka ada feedback untuk Dinas Kehutanan?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resmi dari dinas kehutanan tentang ini yang ada hanya laporan Funding GTZ 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akademisi yang bertindak sebagai tenaga ahli memberikan bimbingan teknis dan sosialisasi dan membantu menyusun RTRW</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resmi dari dinas kehutanan tentang ini yang ada hanya laporan Funding GTZ 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Di Sekayu ada 1-2 orang akademisi yang peduli dan aktif memberikan masukan dalam penyusunan rencana wilayah. Penyampaian dalam pertemuan, tapi aksi nyata dari ide/pendapat mereka belum terlaksana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resmi dari dinas kehutanan tentang ini yang ada hanya laporan Funding GTZ 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akademisi yang aktif memberikan masukan pada perencanaan wilayah di Kab. Muba ada, jumlahnya belum memadai. Informan menyebutkan 3 nama akademisi yang aktif memberikan masukan.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53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CIb2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Materi yang disampaikan aka-demisi dalam pertemuan pem-bahasan perencanaan wilayah dan </w:t>
            </w:r>
            <w:r w:rsidRPr="00AD7F00">
              <w:rPr>
                <w:rFonts w:ascii="Times New Roman" w:eastAsia="Times New Roman" w:hAnsi="Times New Roman" w:cs="Times New Roman"/>
                <w:color w:val="000000"/>
                <w:sz w:val="20"/>
                <w:szCs w:val="20"/>
                <w:lang w:eastAsia="id-ID"/>
              </w:rPr>
              <w:lastRenderedPageBreak/>
              <w:t>kehutanan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 xml:space="preserve">Apakah materi yang disampaikan akademisi dalam pertemuan pem-bahasan perencanaan wilayah dan </w:t>
            </w:r>
            <w:r w:rsidRPr="00AD7F00">
              <w:rPr>
                <w:rFonts w:ascii="Times New Roman" w:eastAsia="Times New Roman" w:hAnsi="Times New Roman" w:cs="Times New Roman"/>
                <w:color w:val="000000"/>
                <w:sz w:val="20"/>
                <w:szCs w:val="20"/>
                <w:lang w:eastAsia="id-ID"/>
              </w:rPr>
              <w:lastRenderedPageBreak/>
              <w:t>kehutanan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resmi dari dinas kehutanan tentang ini yang ada hanya laporan Funding GTZ </w:t>
            </w:r>
            <w:r w:rsidRPr="00AD7F00">
              <w:rPr>
                <w:rFonts w:ascii="Times New Roman" w:eastAsia="Times New Roman" w:hAnsi="Times New Roman" w:cs="Times New Roman"/>
                <w:color w:val="000000"/>
                <w:sz w:val="20"/>
                <w:szCs w:val="20"/>
                <w:lang w:eastAsia="id-ID"/>
              </w:rPr>
              <w:lastRenderedPageBreak/>
              <w:t>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 yang datang untuk penelitian hanya minta izin dan minta data. Tidak ada memberikan materi atau pengayaan pada Dinas kehutanan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resmi dari dinas kehutanan tentang ini yang ada hanya laporan Funding GTZ 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Bimbingan teknis tentang program, UU Penataan Ruang No 26 2007, Program Pengembangan Kota Hijau, Rencana Aksi Kota Hijau, dan Peraturan Zonazi.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Presentasi LSM dalam Rakor RTRW</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Dalam pertemuan pembahasan tidak pernah mendapat materi tertulis dari akademisi. Mereka menyampaikan usulan dalam bentuk komentar lisan.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resmi dari dinas kehutanan tentang ini yang ada hanya laporan Funding GTZ tetang kegiatan MRPP yang didalamnya menyebutkan keterlibatan LSM dan berbagai pihak</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Materi yang disampaikan dalam pertemuan pembahasan perencanaan wilayah belum memadai, karena tidak diberi kesempatan untuk memberikan paparan, tapi di undang dan penyampaian hanya dalam bentuk lisan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5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Jumlah kelompok masyarakat sipil yang menunjukkan kepada publik penyimpangan prosedur dan potensi kerugian masyarakat akibat perencanaan wilayah dan kehutanan secara konsisten</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(Aktivis LSM, Jurnalis, Akademisi, Pemerintah: PU &amp; Kehutanan)</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27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CIc1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Jumlah kelompok masyarakat sipil yang menunjukkan </w:t>
            </w:r>
            <w:r w:rsidRPr="00AD7F00">
              <w:rPr>
                <w:rFonts w:ascii="Times New Roman" w:eastAsia="Times New Roman" w:hAnsi="Times New Roman" w:cs="Times New Roman"/>
                <w:color w:val="000000"/>
                <w:sz w:val="20"/>
                <w:szCs w:val="20"/>
                <w:lang w:eastAsia="id-ID"/>
              </w:rPr>
              <w:lastRenderedPageBreak/>
              <w:t>kepada publik penyimpangan prosedur dan potensi kerugian masyarakat akibat perencanaan wilayah dan kehutanan secara konsisten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 xml:space="preserve">Apakah jumlah kelompok masya-rakat sipil yang menunjukkan </w:t>
            </w:r>
            <w:r w:rsidRPr="00AD7F00">
              <w:rPr>
                <w:rFonts w:ascii="Times New Roman" w:eastAsia="Times New Roman" w:hAnsi="Times New Roman" w:cs="Times New Roman"/>
                <w:color w:val="000000"/>
                <w:sz w:val="20"/>
                <w:szCs w:val="20"/>
                <w:lang w:eastAsia="id-ID"/>
              </w:rPr>
              <w:lastRenderedPageBreak/>
              <w:t>kepada publik penyimpangan prosedur dan potensi kerugian masyarakat akibat perencanaan wilayah dan kehutanan secara konsisten,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Bukti adanya kelompok masyarakat sipil yang menunjukkan kepada public penyimpangan </w:t>
            </w:r>
            <w:r w:rsidRPr="00AD7F00">
              <w:rPr>
                <w:rFonts w:ascii="Times New Roman" w:eastAsia="Times New Roman" w:hAnsi="Times New Roman" w:cs="Times New Roman"/>
                <w:color w:val="000000"/>
                <w:sz w:val="20"/>
                <w:szCs w:val="20"/>
                <w:lang w:eastAsia="id-ID"/>
              </w:rPr>
              <w:lastRenderedPageBreak/>
              <w:t>ditandai adanya Demonstrasi oleh masyarakat masalah lahan.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ormas dan Lembaga Non LSM (LNL) yang mengkritik.</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LSM yang melakukan pemantauan hak masyarakat lokal, jumlahnya kurang memadai. Informan menyebutkan 2 LSM nasional dan 1 LSM lokal</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53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kemlompok masyarakat yang menunjukkan penyimpangan prosudure dan potensi keruggian, karena Tidak mengerti mau kemana mengritik dan menyampaikan protes, sosialisasi prosedur sangat kurang dan tidak ada forum.</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Buktinya ada demo tentang masalah kehutanan yang dilakukan oleh kelompok masyarakat.</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CIc2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Kemampuan kelompok masya-rakat sipil yang menunjukan penyimpangan prosedur dan potensi kerugian akibat peren-canaan wilayah dan kehutanan </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kemampuan kelompok masyarakat sipil yang menunjukan penyimpangan prosedur dan po-tensi kerugian akibat perencanaan wilayah dan kehutanan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Demonstrasi oleh kelompok masyarakat tentang lahan kurang didukung oleh bukti dan data, serta aturan  yang menurut mereka dilanggar.</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Kritik ormas kurang dasar hukum dan faktanya.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Informan menyebutkan beberapa nama kelompok masyarakat seperti; kelompok masyarakat Sako Suban, Keluang, Muara Medak, Batang Hari leko.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Kemampuan kelompok masyarkat untuk menunjukan penyimpangan dan potensi kerugian </w:t>
            </w:r>
            <w:r w:rsidRPr="00AD7F00">
              <w:rPr>
                <w:rFonts w:ascii="Times New Roman" w:eastAsia="Times New Roman" w:hAnsi="Times New Roman" w:cs="Times New Roman"/>
                <w:color w:val="000000"/>
                <w:sz w:val="20"/>
                <w:szCs w:val="20"/>
                <w:lang w:eastAsia="id-ID"/>
              </w:rPr>
              <w:lastRenderedPageBreak/>
              <w:t xml:space="preserve">belum memadai, karena tidak tau kemana menyampaikan kritik dan protes.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Kelompok masyarakat local masih perlu pendampingan agara mereka bisa menujukkan penyimpangan dan bisa menyampaikan gugatan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7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d. Jumlah aktivis-LSM/jaringan LSM yang mendampingi masyarakat melakukan pemetaan wilayah</w:t>
            </w:r>
          </w:p>
        </w:tc>
      </w:tr>
      <w:tr w:rsidR="00AD7F00" w:rsidRPr="00AD7F00" w:rsidTr="00AD7F00">
        <w:trPr>
          <w:trHeight w:val="28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(Jurnalis, Akademisi, Masyarakat Adat/lokal, Pemerintah: PU &amp; Kehutanan)</w:t>
            </w:r>
            <w:r w:rsidRPr="00AD7F00">
              <w:rPr>
                <w:rFonts w:ascii="Times New Roman" w:eastAsia="Times New Roman" w:hAnsi="Times New Roman" w:cs="Times New Roman"/>
                <w:b/>
                <w:bCs/>
                <w:color w:val="000000"/>
                <w:sz w:val="20"/>
                <w:szCs w:val="20"/>
                <w:lang w:eastAsia="id-ID"/>
              </w:rPr>
              <w:br/>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76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CId1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aktivis-LSM/jaringan LSM yang mendampingi masyarakat melakukan pemetaan wilayah</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menyatakan bahwa di MUBA tidak ada LSM yang mendampingi untuk melakukan pemetaan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yang mendampingi masyarakat</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Infoman menyebutkan ada 2 Jaringan LSM Nasional yang mendampingi masyarkat.  Tidak ada LSM lokal.Jumlah ini menurut Informan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27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Menurut Informan tidak ada LSM yang mendapingi masyarakat melakukan pemetan karena kegiatan ini perlu eterampilan khusus, perlu foto udarah, perlu peralatan dan skil khusus.</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Menurun informan tidak ada aktifis LSM yang mendampingi masyarakat melakukan pemetaan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Ada aktifis LSM nasional yang melakukan </w:t>
            </w:r>
            <w:r w:rsidRPr="00AD7F00">
              <w:rPr>
                <w:rFonts w:ascii="Times New Roman" w:eastAsia="Times New Roman" w:hAnsi="Times New Roman" w:cs="Times New Roman"/>
                <w:color w:val="000000"/>
                <w:sz w:val="20"/>
                <w:szCs w:val="20"/>
                <w:lang w:eastAsia="id-ID"/>
              </w:rPr>
              <w:lastRenderedPageBreak/>
              <w:t>pendampingan pemetaan wilayah, tapi tidak ada LSM loal</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153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CId2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Kemampuan aktivis-LSM/ ja-ringan LSM yang mendampingi masyarakat melakukan pemetaan wilayah</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kemampuan aktivis-LSM/ jaringan LSM yang mendampingi masyarakat melakukan pemetaan wilayah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aktifis LSM yang melakukan pendampingan pemetaan wilayah, karena SDM LSM tidak mempunyai kemampuan untuk itu. Tidak ada SDM LSM lokal yanag berlatar belakan kehutanan dan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PU</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Kurang memadai, tidak berdasarkan fakta dan dasar hukum yang kuat.</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Menurut Informan KSM dapat menunjukkan bukti illegal loging, perambah hutan, perlakuan perusahaan terhadap hutan.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LSM  yang mendampingi masyarakat melakukan pemetaan. Karena kegiatan ini perlu keterampilan khusus. SDM LSM unutk ini tidak ada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SDM LSM tidak punya kompetensi unutuk melakukan pemetaan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Kemampuan SDM LSM kurang memadai untuk melakukan pendampingan dalam pemetaan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4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e. Sumber dana yang dipergunakan LSM/jaringan LSM melakukan pendampingan masyarakat melakukan pemetaan wilayah </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(LSM: Pengurus)</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55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CIe1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Sumber dana yang diperguna-kan LSM/jaringan LSM melaku-kan pendampingan masyarakat melakukan pemetaan wilayah</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sumber dana yang diper-gunakan LSM/jaringan LSM mela-kukan pendampingan masyarakat melakukan pemetaan wilayah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 lokal tidak punya pendanaan untuk melakukan pendapingan, informasi yang didapat ada LSM nasional dan LSM International yang melakukan pendampingan yaitu " Wahana Bumi Hijau dan Wetland International. Tidak ada publikasi khusus tentang berapa besar dana yang dikucurkan funding GTZ untuk ini</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Untuk LSM local tidak ada biaya ,  untuk LSM nasional seperti WBH mereka mendapat dana dari Donor Luar.</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600"/>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f. Mekanisme pelaporan balik hasil atau proses partisipasi yang diikuti kepada organisasi masyarakat sipil masyarakat yang didampingi dan publik</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(LSM: Pengurus)</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53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CIf1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Prosedur penyampaian hasil atau proses partisipasi</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mekanisme pelaporan balik hasil atau proses partisipasi mengatur prosedur pe-nyampaian hasil atau proses partisipasi?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 Lokal di Musi Banyu Asin belum mempunyai SOP mekanisme pelaporan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Untuk LSM local mekanisme pelaporan kurang baik dan tidak ada system monitoring.</w:t>
            </w:r>
            <w:r w:rsidRPr="00AD7F00">
              <w:rPr>
                <w:rFonts w:ascii="Times New Roman" w:eastAsia="Times New Roman" w:hAnsi="Times New Roman" w:cs="Times New Roman"/>
                <w:color w:val="000000"/>
                <w:sz w:val="20"/>
                <w:szCs w:val="20"/>
                <w:lang w:eastAsia="id-ID"/>
              </w:rPr>
              <w:br/>
              <w:t>Untuk LSM Nasional bagus karena ada mekanisme dari Funding (donor)</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CIf2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Standarisasi isi laporan hasil atau proses partisipasi</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mekanisme pelaporan balik hasil atau proses partisipasi mengatur standarisasi isi laporan hasil atau proses parti-sipasi?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Untuk LSM local tidak ada standard,  Untuk LSM Nasional terstandard dengan baik.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CIf3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Forum penyampaian hasil atau proses </w:t>
            </w:r>
            <w:r w:rsidRPr="00AD7F00">
              <w:rPr>
                <w:rFonts w:ascii="Times New Roman" w:eastAsia="Times New Roman" w:hAnsi="Times New Roman" w:cs="Times New Roman"/>
                <w:color w:val="000000"/>
                <w:sz w:val="20"/>
                <w:szCs w:val="20"/>
                <w:lang w:eastAsia="id-ID"/>
              </w:rPr>
              <w:lastRenderedPageBreak/>
              <w:t>partisipasi</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 xml:space="preserve">Apakah mekanisme pelaporan balik hasil atau proses partisipasi </w:t>
            </w:r>
            <w:r w:rsidRPr="00AD7F00">
              <w:rPr>
                <w:rFonts w:ascii="Times New Roman" w:eastAsia="Times New Roman" w:hAnsi="Times New Roman" w:cs="Times New Roman"/>
                <w:color w:val="000000"/>
                <w:sz w:val="20"/>
                <w:szCs w:val="20"/>
                <w:lang w:eastAsia="id-ID"/>
              </w:rPr>
              <w:lastRenderedPageBreak/>
              <w:t>mengatur forum penyam-paian hasil atau proses partisipasi?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Untuk LSM Lokal tidak ada mekanisme sedangkan LSM Nasional ada mekanisme pelaporan </w:t>
            </w:r>
            <w:r w:rsidRPr="00AD7F00">
              <w:rPr>
                <w:rFonts w:ascii="Times New Roman" w:eastAsia="Times New Roman" w:hAnsi="Times New Roman" w:cs="Times New Roman"/>
                <w:color w:val="000000"/>
                <w:sz w:val="20"/>
                <w:szCs w:val="20"/>
                <w:lang w:eastAsia="id-ID"/>
              </w:rPr>
              <w:lastRenderedPageBreak/>
              <w:t>yang baik</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CIf4</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Penetapan peserta forum penyampaian hasil atau proses partisipasi</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mekanisme pelaporan balik hasil atau proses partisipasi mengatur penetapan peserta forum penyampaian hasil atau proses partisipasi?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000000" w:fill="FFFF00"/>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Pertanyaan ini tidak jelas bagi informan sehingga dia tidak punya pendapat. Maksud pertanyaan tidak jelas</w:t>
            </w:r>
          </w:p>
        </w:tc>
        <w:tc>
          <w:tcPr>
            <w:tcW w:w="1382" w:type="dxa"/>
            <w:tcBorders>
              <w:top w:val="nil"/>
              <w:left w:val="nil"/>
              <w:bottom w:val="single" w:sz="4" w:space="0" w:color="auto"/>
              <w:right w:val="single" w:sz="4" w:space="0" w:color="auto"/>
            </w:tcBorders>
            <w:shd w:val="clear" w:color="000000" w:fill="FFFF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CIf5</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Mekanisme penyampaian masukan dari peserta forum</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mekanisme pelaporan balik hasil atau proses partisipasi mengatur mekanisme penyam-paian masukan dari peserta forum?</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menjelaskan opini dia, untuk LSM Nasional mekanisme pelaporan balik mungkin baik..</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3740" w:type="dxa"/>
            <w:gridSpan w:val="3"/>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II. Pengaturan Hak</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510"/>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aktivis LSM yang memiliki keterampilan perancangan peraturan (legal drafting) terkait dengan masyarakat adat/lokal</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02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CIIa1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aktivis LSM yang memiliki keterampilan perancangan peraturan (legal drafting) terkait dengan masyarakat adat/lokal</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aktivis LSM yang memiliki keterampilan perancang-an peraturan (legal drafting) ter-kait dengan masyarakat adat/lokal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Menurut informan jumlah aktivis LSM yang memiliki keterampilan legal drafting ada, jumlahnya kurang memadai. Informan pernah pelatihan legal drafting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LSM yang mempunyai ketampilan legal drafting terkait dengan masyarakat lokal</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27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aktifis LSM yang mempunyai keterampilan legal drafting terkait masyarakat lokal, jumlahnya kurang memadai. Informan menyebutkan 1 orang aktifis LSM</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CIIa2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Bukti keikutsertaan dalam pelatihan perancangan peraturan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aktivis-LSM yang memiliki keterampilan perancangan per-aturan (legal drafting) terkait dengan masyarakat adat/lokal me-miliki bukti keikutsertaan dalam pelatihan perancangan peraturan?</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Informan menyebutkan 1 orang  aktifis LSM yang mempunyai keterampilan legal drafting terkait masyarakat lokal, jumlahnya kurang memadai.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bukti bahwa SDM LSM yang pernah ikut pelatiahan legal drafting menurut informan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Menurut informan LSM yang khusus mengikuti pelatiah legal drafting</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CIIa3</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Lama waktu kerja sebagai legal drafter</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Berapa lama waktu kerja yang di-miliki aktivis-LSM sebagai legal drafter?</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sebagai Akrifis LSM telah memiliki pengalam lebih dari 5 tahun dan informan mempunyai keterampilan legal darfting</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5</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bukti yang dimiliki informan untuk menujukan bahwa aktifis LSM mempunyai keterampilan legal drafting</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Pengalam aktifis LSM dalam legal drafiting kurang memadai</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7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b. Jumlah akademisi yang memiliki keterampilan perancangan peraturan (legal drafting) terkait dengan masyarakat adat/lokal</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34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76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CIIb1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akademisi yang memiliki keterampilan perancangan peraturan (legal drafting) terkait dengan masyarakat adat/lokal</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akademisi yang memiliki keterampilan perancang-an peraturan (legal drafting) ter-kait dengan masyarakat adat/lokal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Di Muba ada jumlah akademisi yang memiliki keterampilan legal drafting. Paling tidak ada 3 akademis yang dikenal informan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akademisi di Muba yang mempunyai keterampilan legal drafting terkait masyarakat lokal, yang ada di </w:t>
            </w:r>
            <w:r w:rsidRPr="00AD7F00">
              <w:rPr>
                <w:rFonts w:ascii="Times New Roman" w:eastAsia="Times New Roman" w:hAnsi="Times New Roman" w:cs="Times New Roman"/>
                <w:color w:val="000000"/>
                <w:sz w:val="20"/>
                <w:szCs w:val="20"/>
                <w:lang w:eastAsia="id-ID"/>
              </w:rPr>
              <w:lastRenderedPageBreak/>
              <w:t>Palembang</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r>
      <w:tr w:rsidR="00AD7F00" w:rsidRPr="00AD7F00" w:rsidTr="00AD7F00">
        <w:trPr>
          <w:trHeight w:val="127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menyebutkan ada 1 atau 2 orang pengajar di STIH Rahmania Sekayu yang punya keterampilan legal drafting, jumlah ini kurang memadai harusnya lebih banyak lagi 5 atau lebih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53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CIIb2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Bukti keikutsertaan dalam pelatihan perancangan peraturan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akademisi yang memiliki keterampilan perancangan per-aturan (legal drafting) terkait dengan masyarakat adat/lokal me-miliki bukti keikutsertaan dalam pelatihan perancangan peraturan?</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bukti yang tertulis bahwa mereka telah mengikuti pelatihan.  Tapi dari hasil penelitian para akademis yang sudah dipublikasi dan disosialisasikan menunjukan bahwa mereka mempunyai kemampuan legal drafting.</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27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tidak ada bukti yang bisa ditunjukan bahwa ada akademisi yang mempunyai keterampilan legal drafting terkait masyarakat lokal dan perencanaan wilayah di MUBA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Infoorman menyebutkan 1 akademisi yang memiliki keterampilan legal drafting terkait masyarakat lokal dan perencanaan wilayah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CIIb3</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Lama waktu kerja sebagai legal drafter</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Berapa lama waktu kerja yang di-miliki akademisi sebagai legal drafter?</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Para akademisi yang dikenal dan diketahui kempuannya oleh informan sudah berpengalaman lebih dari 4 tahun.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Akademisi</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bukti bahwa akademisi berpengalaman dalam legal drafting terkait masyarakat lokal dan perencanaan wilayah di MUBA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Biro Hukum Pemda</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Pengalaman kerja akademisi dalam hal legal drafting kurang memadai, harusnya </w:t>
            </w:r>
            <w:r w:rsidRPr="00AD7F00">
              <w:rPr>
                <w:rFonts w:ascii="Times New Roman" w:eastAsia="Times New Roman" w:hAnsi="Times New Roman" w:cs="Times New Roman"/>
                <w:color w:val="000000"/>
                <w:sz w:val="20"/>
                <w:szCs w:val="20"/>
                <w:lang w:eastAsia="id-ID"/>
              </w:rPr>
              <w:lastRenderedPageBreak/>
              <w:t>sudah lebh dari 5 tahun.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2</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60"/>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Jumlah LSM/jaringan LSM yang memiliki program pemantauan pengaturan hak masyarakat adat/lokal terhadap hutan</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3893" w:type="dxa"/>
            <w:gridSpan w:val="3"/>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(Pengurus: LSM &amp; Masyarakat Adat)</w:t>
            </w: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51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CIIc1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LSM/jaringan LSM yang memiliki program pemantauan pengaturan hak masyarakat adat/lokal terhadap hutan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LSM/jaringan LSM yang memiliki program pemantau-an pengaturan hak masyarakat adat/lokal terhadap hutan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LSM local dan Nasional, sperti Patriot Bela Bangsa, Walhi, WBH</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LSM yang mempunyai program pemantauan hak masyarakat lokal</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r>
      <w:tr w:rsidR="00AD7F00" w:rsidRPr="00AD7F00" w:rsidTr="00AD7F00">
        <w:trPr>
          <w:trHeight w:val="31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d. Kode etik yang dipergunakan oleh LSM/jaringan LSM dalam melakukan pemantauan</w:t>
            </w:r>
            <w:r w:rsidRPr="00AD7F00">
              <w:rPr>
                <w:rFonts w:ascii="Times New Roman" w:eastAsia="Times New Roman" w:hAnsi="Times New Roman" w:cs="Times New Roman"/>
                <w:b/>
                <w:bCs/>
                <w:color w:val="000000"/>
                <w:sz w:val="20"/>
                <w:szCs w:val="20"/>
                <w:lang w:eastAsia="id-ID"/>
              </w:rPr>
              <w:br/>
              <w:t xml:space="preserve">   </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(LSM, Pemerintah: Unit Kerja Pemberi Izin di tingkat Pusat  &amp; Daerah, Masyarakat Adat/Lokal)</w:t>
            </w:r>
            <w:r w:rsidRPr="00AD7F00">
              <w:rPr>
                <w:rFonts w:ascii="Times New Roman" w:eastAsia="Times New Roman" w:hAnsi="Times New Roman" w:cs="Times New Roman"/>
                <w:b/>
                <w:bCs/>
                <w:color w:val="000000"/>
                <w:sz w:val="20"/>
                <w:szCs w:val="20"/>
                <w:lang w:eastAsia="id-ID"/>
              </w:rPr>
              <w:br/>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550"/>
        </w:trPr>
        <w:tc>
          <w:tcPr>
            <w:tcW w:w="757" w:type="dxa"/>
            <w:vMerge w:val="restart"/>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CIId1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Kode etik memasukkan prinsip-prinsip good governance (6 prinsip)</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kode etik yang dipergu-nakan oleh LSM/jaringan LSM dalam melakukan pemantauan sudah memasukkan prinsip-prinsip good governance (6 prinsip)?</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Menurut informan LSM di MUBA  punya kepentingan tetentu. Seharusnya LSM itu menjadi partner pemerintah untum membantu dan memberikan masukan dalam membangun Negara.  Ada LSM nasional seperti Walhi, WBH yang memberikan masukan dan keritik tentang kehutan di MUBA.  Informan mengakui dan menerima cara LSM nasional ini, tapi LSM local belum ada.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Transparan, Kredibel dan berdasarkan fakta (objektif)</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765"/>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Organisasi Masyarakat Adat </w:t>
            </w:r>
            <w:r w:rsidRPr="00AD7F00">
              <w:rPr>
                <w:rFonts w:ascii="Times New Roman" w:eastAsia="Times New Roman" w:hAnsi="Times New Roman" w:cs="Times New Roman"/>
                <w:color w:val="000000"/>
                <w:sz w:val="20"/>
                <w:szCs w:val="20"/>
                <w:lang w:eastAsia="id-ID"/>
              </w:rPr>
              <w:lastRenderedPageBreak/>
              <w:t>Lokal</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LSM belum memasukan prinsip Good Governance </w:t>
            </w:r>
            <w:r w:rsidRPr="00AD7F00">
              <w:rPr>
                <w:rFonts w:ascii="Times New Roman" w:eastAsia="Times New Roman" w:hAnsi="Times New Roman" w:cs="Times New Roman"/>
                <w:color w:val="000000"/>
                <w:sz w:val="20"/>
                <w:szCs w:val="20"/>
                <w:lang w:eastAsia="id-ID"/>
              </w:rPr>
              <w:lastRenderedPageBreak/>
              <w:t>dalam melakukan pemantauan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r>
      <w:tr w:rsidR="00AD7F00" w:rsidRPr="00AD7F00" w:rsidTr="00AD7F00">
        <w:trPr>
          <w:trHeight w:val="765"/>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CIId2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Kredibilitas kode etik yang dipergunakan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 pendapat Anda mengenai kredibilitas kode etik yang diper-gunakan oleh LSM/jaringan LSM dalam melakukan pemantauan?</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Menurut informan kredibilitas LSM local buruk, secara etika kurang. Karena tidak jelas visi dan misi LSM tersebut.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Menurut informan pelaksanaannya kadang-kadang ada juga LSM yang tidak sepenuhnya menggunakan kode etik.  Seperti kurang cross chek informasi.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Kredibilitas kode etik LSM dalam melakukan pemantauan cukup baik, mereka menyampaikan informasi penyimpangan tapi belum mampu memberikan solusi</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61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e. Jumlah kelompok masyarakat sipil yang menunjukkan kepada publik penyimpangan prosedur dan </w:t>
            </w:r>
            <w:r w:rsidRPr="00AD7F00">
              <w:rPr>
                <w:rFonts w:ascii="Times New Roman" w:eastAsia="Times New Roman" w:hAnsi="Times New Roman" w:cs="Times New Roman"/>
                <w:b/>
                <w:bCs/>
                <w:color w:val="000000"/>
                <w:sz w:val="20"/>
                <w:szCs w:val="20"/>
                <w:lang w:eastAsia="id-ID"/>
              </w:rPr>
              <w:br/>
              <w:t xml:space="preserve">       potensi kerugian masyarakat akibat permasalahan hak atas hutan dan lahan</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Laporan penyimpangan prosedur dan potensi kerugian yang disampaikan kepada publik</w:t>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040"/>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CIIe1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kelompok masyarakat sipil yang menunjukkan kepada publik penyimpangan prosedur dan potensi kerugian masyarakat akibat permasalahan hak atas hutan dan lahan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GRZ MRPP</w:t>
            </w:r>
          </w:p>
        </w:tc>
        <w:tc>
          <w:tcPr>
            <w:tcW w:w="1249"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000000" w:fill="000000"/>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382"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3740" w:type="dxa"/>
            <w:gridSpan w:val="3"/>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III. Pengorganisasian Hutan</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510"/>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LSM yang mempunyai program peningkatan kapasitas anggota/staf untuk melakukan pemantauan tata kelola hutan dan lahan gambut</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7145" w:type="dxa"/>
            <w:gridSpan w:val="5"/>
            <w:tcBorders>
              <w:top w:val="nil"/>
              <w:left w:val="nil"/>
              <w:bottom w:val="single" w:sz="4" w:space="0" w:color="auto"/>
              <w:right w:val="nil"/>
            </w:tcBorders>
            <w:shd w:val="clear" w:color="auto" w:fill="auto"/>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Well Informed Persons (Akademisi, LSM, Pemerintah: Biro Hukum Pemda Provinsi &amp; Kabupaten)</w:t>
            </w: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lastRenderedPageBreak/>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78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CIIIa1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mempunyai program peningkatan kapasitas anggota/staf untuk melakukan pemantauan tata kelola hutan dan lahan gambut</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LSM yang mempu-nyai program peningkatan kapa-sitas anggota/staf untuk melaku-kan pemantauan tata kelola hutan dan lahan gambut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 MRPP</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Menurut informan biasanya LSM mempunyai program peningkatan kapasitas kemapuajn staf yang dilakukan baik internal lembaga atau ikut kegiatan lembaga lain.  Materinya biasanya wawasan status hutan, regulasi kehutanan.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b. Mekanisme pemilihan representasi perwakilan LSM dalam lembaga/forum multipihak</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(Pengurus terkait isu keterwakilan gender)</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CIIIb1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pertimbangan yang diguna-kan untuk memilih wakil (keahlian, keterwakilan gender) LSM dalam lembaga/forum multipihak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Keterwakilan ini sulit dilakukan karena keterbatasan LSM dan jaringan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CIIIb2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mekanisme pemilihan wakil LSM dalam lembaga/forum multi-pihak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mekanisme khusus pemilihan wakil LSM, tapi LSM hanya diundang saja.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CIIIb3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forum pemilihan wakil LSM dalam lembaga/forum multipihak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000000" w:fill="0000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LSM punya berbagai visi dan kepentingan sehingga sulit untuk mejadikan satu lsm sebagai keterwakilan dalam  forum.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31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Jumlah inisiatif advokasi pemberantasan korupsi di sektor kehutanan oleh aktivis-LSM lingkungan atau aktivis-LSM anti korupsi</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Polisi</w:t>
            </w: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275"/>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CIIIc1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inisiatif advokasi pemberantasan korupsi di sektor kehutanan oleh aktivis-LSM lingkungan atau aktivis-LSM anti korupsi</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inisiatif advokasi pemberantasan korupsi di sektor ke-hutanan oleh aktivis-LSM lingkungan atau aktivis-LSM anti korupsi sudah memadai?</w:t>
            </w:r>
          </w:p>
        </w:tc>
        <w:tc>
          <w:tcPr>
            <w:tcW w:w="1143" w:type="dxa"/>
            <w:tcBorders>
              <w:top w:val="nil"/>
              <w:left w:val="nil"/>
              <w:bottom w:val="single" w:sz="4" w:space="0" w:color="auto"/>
              <w:right w:val="single" w:sz="4" w:space="0" w:color="auto"/>
            </w:tcBorders>
            <w:shd w:val="clear" w:color="000000" w:fill="F2DDDC"/>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Polres</w:t>
            </w:r>
          </w:p>
        </w:tc>
        <w:tc>
          <w:tcPr>
            <w:tcW w:w="1501" w:type="dxa"/>
            <w:tcBorders>
              <w:top w:val="nil"/>
              <w:left w:val="nil"/>
              <w:bottom w:val="single" w:sz="4" w:space="0" w:color="auto"/>
              <w:right w:val="single" w:sz="4" w:space="0" w:color="auto"/>
            </w:tcBorders>
            <w:shd w:val="clear" w:color="000000" w:fill="F2DDDC"/>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Polres tidak memberikan dokumen dengan alasan harus koordinasi dengan instansi terkait dan sampai saat ini belum ada informasi yang dibelikan Polres Muba</w:t>
            </w:r>
          </w:p>
        </w:tc>
        <w:tc>
          <w:tcPr>
            <w:tcW w:w="1249" w:type="dxa"/>
            <w:tcBorders>
              <w:top w:val="nil"/>
              <w:left w:val="nil"/>
              <w:bottom w:val="single" w:sz="4" w:space="0" w:color="auto"/>
              <w:right w:val="single" w:sz="4" w:space="0" w:color="auto"/>
            </w:tcBorders>
            <w:shd w:val="clear" w:color="000000" w:fill="F2DDDC"/>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000000" w:fill="F2DDDC"/>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belum merespon dan memberikan waktu untuk diwawancarai. Sudah didatangi dan dikonfirmasi berkali-kali sehingga Wawancara tidak dapat dilaksanakan</w:t>
            </w:r>
          </w:p>
        </w:tc>
        <w:tc>
          <w:tcPr>
            <w:tcW w:w="1382" w:type="dxa"/>
            <w:tcBorders>
              <w:top w:val="nil"/>
              <w:left w:val="nil"/>
              <w:bottom w:val="single" w:sz="4" w:space="0" w:color="auto"/>
              <w:right w:val="single" w:sz="4" w:space="0" w:color="auto"/>
            </w:tcBorders>
            <w:shd w:val="clear" w:color="000000" w:fill="F2DDDC"/>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LSM lokal tidak memiliki sistem pendokumentasian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Untuk MUBA jumlah inisiasi advoksi pemberantasan korupsi kurang memadai. Namun informan mempertanyakan scoring penilaian. Karena tidak jelas</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3740" w:type="dxa"/>
            <w:gridSpan w:val="3"/>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IV. Pengelolaan Hutan</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31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LSM yang melakukan monitoring pemberian izin di dalam kawasan hutan dan pengelolaan kawasan konservasi</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(Pengurus), Pejabat Pemberi Izin, Jurnalis</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510"/>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CIVa1</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melakukan monitoring pemberian izin di dalam kawasan hutan dan pengelolaan kawasan konservasi</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LSM yang melakukan monitoring pemberian izin di dalam kawasan hutan dan pengelolaan kawasan konservasi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Kehutanan</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tentang ini</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melakukan monitoring tidak memadai di MUBA</w:t>
            </w:r>
          </w:p>
        </w:tc>
        <w:tc>
          <w:tcPr>
            <w:tcW w:w="1382"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000000"/>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tentang ini</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memonitoring pemberian izin di kawasan hutan dan pengelolaan kawasan konservasi di MUBA tidak ada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000000"/>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Masalah Lingkungan Jadi Perhatian </w:t>
            </w:r>
            <w:r w:rsidRPr="00AD7F00">
              <w:rPr>
                <w:rFonts w:ascii="Times New Roman" w:eastAsia="Times New Roman" w:hAnsi="Times New Roman" w:cs="Times New Roman"/>
                <w:color w:val="000000"/>
                <w:sz w:val="20"/>
                <w:szCs w:val="20"/>
                <w:lang w:eastAsia="id-ID"/>
              </w:rPr>
              <w:br/>
              <w:t xml:space="preserve">Kamis, 03 May 2012 00:00 </w:t>
            </w:r>
            <w:r w:rsidRPr="00AD7F00">
              <w:rPr>
                <w:rFonts w:ascii="Times New Roman" w:eastAsia="Times New Roman" w:hAnsi="Times New Roman" w:cs="Times New Roman"/>
                <w:color w:val="000000"/>
                <w:sz w:val="20"/>
                <w:szCs w:val="20"/>
                <w:lang w:eastAsia="id-ID"/>
              </w:rPr>
              <w:br/>
              <w:t xml:space="preserve"> SeputarIndonesia</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Menuurut informan tidak ada LSM yang memonitoring pemberian izin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58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b. Tingkat pengetahuan aktivis LSM yang melakukan monitoring mengenai prinsip dan prosedur pemberian izin dan pengelolaan kawasan konservasi</w:t>
            </w:r>
          </w:p>
        </w:tc>
      </w:tr>
      <w:tr w:rsidR="00AD7F00" w:rsidRPr="00AD7F00" w:rsidTr="00AD7F00">
        <w:trPr>
          <w:trHeight w:val="31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143"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(Aktivis)</w:t>
            </w:r>
          </w:p>
        </w:tc>
        <w:tc>
          <w:tcPr>
            <w:tcW w:w="1501"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249"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CIVb1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Pemahaman terhadap prinsip &amp; prosedur</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pemahaman aktivis LSM ter-hadap prinsip &amp; prosedur pemberian izin dan pengelolaan kawasan kon-servasi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tentang ini</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semua aktivis paham prinsip dan prosedur perizinan dan legal drafting, kepedulian terhadap kawasan konvensi rendah.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CIVb2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Strategi pelaksanaan monitoring</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strategi pelaksanaan moni-toring prinsip &amp; prosedur pemberian izin dan pengelolaan kawasan kon-servasi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tentang ini</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Untuk LSM Nasional startegi mereka OK cukup memadai, LSM Lokal belum</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78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CIVb3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Bukti Keikutsertaan dalam pelatihan monitoring</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bukti keikutsertaan da-lam pelatihan monitoring yang dimiliki aktivis LSM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 tentang ini</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Bukti keikut sertaan LSM nasional yang ikut dalam kegiatatan international NGO difasilitasi oleh UNIEROPA  cukup memadai. Jawaban ini sebenarnya meragukan karena dia menceritakan Kapasitas LSM nasional seperti WALHI dan WBH, untuk LSM local tidak memadai</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8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Jumlah LSM yang aktif melakukan peningkatan kapasitas masyarakat adat dan lokal untuk mengelola hutan</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Pelaksanaan peningkatan kapasitas (Pengurus LSM) dan Masyarakat Adat/Lokal (Pengurus)</w:t>
            </w:r>
            <w:r w:rsidRPr="00AD7F00">
              <w:rPr>
                <w:rFonts w:ascii="Times New Roman" w:eastAsia="Times New Roman" w:hAnsi="Times New Roman" w:cs="Times New Roman"/>
                <w:b/>
                <w:bCs/>
                <w:color w:val="000000"/>
                <w:sz w:val="20"/>
                <w:szCs w:val="20"/>
                <w:lang w:eastAsia="id-ID"/>
              </w:rPr>
              <w:br/>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275"/>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CIVc1</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aktif mela-kukan peningkatan kapasitas masyarakat adat dan lokal untuk mengelola hutan</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jumlah LSM yang aktif melakukan peningkatan kapasitas masyarakat adat dan lokal untuk mengelola hutan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Dalam Laporan GTZ disebutkan ada LSM terlibat dalam kegiatan meningkatkan kapasista masyarakat mengelola hutan tapi di LSM lokal tidak ditemukan dokumennya</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 local tidak ada melakukan kegiatan peningkatan kapasitas masyarakat local/adat, yang ada LSM Nasional seperti WBH</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 dalam proyek MRPP</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Semestinya menurut Informan kegiatan ini lebih banyak lagi dan melibatkan lebih banyak kelompok masyarakat dan LSM local.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CIVc2</w:t>
            </w:r>
          </w:p>
        </w:tc>
        <w:tc>
          <w:tcPr>
            <w:tcW w:w="1408"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575" w:type="dxa"/>
            <w:vMerge w:val="restart"/>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pelaksanaan peningkatan kapasitas masyarakat adat dan lokal untuk mengelola hutan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000000" w:fill="000000"/>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 dalam proyek MRPP</w:t>
            </w:r>
          </w:p>
        </w:tc>
        <w:tc>
          <w:tcPr>
            <w:tcW w:w="1249" w:type="dxa"/>
            <w:tcBorders>
              <w:top w:val="nil"/>
              <w:left w:val="nil"/>
              <w:bottom w:val="single" w:sz="4" w:space="0" w:color="auto"/>
              <w:right w:val="single" w:sz="4" w:space="0" w:color="auto"/>
            </w:tcBorders>
            <w:shd w:val="clear" w:color="000000" w:fill="000000"/>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Semestinya menurut Informan kegiatan ini lebih banyak lagi dan melibatkan lebih banyak kelompok masyarakat dan LSM local.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auto"/>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Organisasi Masyarakat Adat Lokal</w:t>
            </w:r>
          </w:p>
        </w:tc>
        <w:tc>
          <w:tcPr>
            <w:tcW w:w="1501" w:type="dxa"/>
            <w:tcBorders>
              <w:top w:val="nil"/>
              <w:left w:val="nil"/>
              <w:bottom w:val="single" w:sz="4" w:space="0" w:color="auto"/>
              <w:right w:val="single" w:sz="4" w:space="0" w:color="auto"/>
            </w:tcBorders>
            <w:shd w:val="clear" w:color="000000" w:fill="000000"/>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 dalam proyek MRPP</w:t>
            </w:r>
          </w:p>
        </w:tc>
        <w:tc>
          <w:tcPr>
            <w:tcW w:w="1249" w:type="dxa"/>
            <w:tcBorders>
              <w:top w:val="nil"/>
              <w:left w:val="nil"/>
              <w:bottom w:val="single" w:sz="4" w:space="0" w:color="auto"/>
              <w:right w:val="single" w:sz="4" w:space="0" w:color="auto"/>
            </w:tcBorders>
            <w:shd w:val="clear" w:color="000000" w:fill="000000"/>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Ada peningkatan kapasitas masyarakat lokal tapi kurang memadai. Kegiatan jarang sekali dan hanya "sesaat", misal mau pilkada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xml:space="preserve">: V. Pengendalian dan Penegakan Hukum  </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LSM yang menerima pengaduan masyarakat terkait masalah kehutanan</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Pelaksanaan LSM, Masyarakat pelapor</w:t>
            </w:r>
            <w:r w:rsidRPr="00AD7F00">
              <w:rPr>
                <w:rFonts w:ascii="Times New Roman" w:eastAsia="Times New Roman" w:hAnsi="Times New Roman" w:cs="Times New Roman"/>
                <w:b/>
                <w:bCs/>
                <w:color w:val="000000"/>
                <w:sz w:val="20"/>
                <w:szCs w:val="20"/>
                <w:lang w:eastAsia="id-ID"/>
              </w:rPr>
              <w:br/>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CVa1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menerima pe-ngaduan masyarakat terkait ma-salah kehutanan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Berapa jumlah pengaduan ma-syarakat yang diterima LSM?</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pengaduan bukan data tertulis, seringkali pengaduan lisan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78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CVa2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Isu pengaduan: </w:t>
            </w:r>
            <w:r w:rsidRPr="00AD7F00">
              <w:rPr>
                <w:rFonts w:ascii="Times New Roman" w:eastAsia="Times New Roman" w:hAnsi="Times New Roman" w:cs="Times New Roman"/>
                <w:color w:val="000000"/>
                <w:sz w:val="20"/>
                <w:szCs w:val="20"/>
                <w:lang w:eastAsia="id-ID"/>
              </w:rPr>
              <w:br/>
              <w:t xml:space="preserve">a) Korupsi &amp; Kejahatan Kehutanan, </w:t>
            </w:r>
            <w:r w:rsidRPr="00AD7F00">
              <w:rPr>
                <w:rFonts w:ascii="Times New Roman" w:eastAsia="Times New Roman" w:hAnsi="Times New Roman" w:cs="Times New Roman"/>
                <w:color w:val="000000"/>
                <w:sz w:val="20"/>
                <w:szCs w:val="20"/>
                <w:lang w:eastAsia="id-ID"/>
              </w:rPr>
              <w:br/>
              <w:t xml:space="preserve">b) Perencanaan, </w:t>
            </w:r>
            <w:r w:rsidRPr="00AD7F00">
              <w:rPr>
                <w:rFonts w:ascii="Times New Roman" w:eastAsia="Times New Roman" w:hAnsi="Times New Roman" w:cs="Times New Roman"/>
                <w:color w:val="000000"/>
                <w:sz w:val="20"/>
                <w:szCs w:val="20"/>
                <w:lang w:eastAsia="id-ID"/>
              </w:rPr>
              <w:br/>
              <w:t>c) Hak &amp; Pengelolaan hutan &amp; lahan gambut</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pengaduan masyarakat mencakup isu berikut ini: (a) Korupsi &amp; Kejahatan Kehutanan, (b) Perencanaan, dan (c) Hak &amp; Pengelolaan hutan &amp; lahan gambut</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Pengaduan tidak terkait satu sama lain. Pengaduannya masalah hak mengelola lahan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020"/>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CVa3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SOP penerimaan pengaduan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SOP penerimaan pengaduan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SOP penerimaan pengaduan, yang ada jika masyarakat dating diterima dan didengarkan masalah yang mereka </w:t>
            </w:r>
            <w:r w:rsidRPr="00AD7F00">
              <w:rPr>
                <w:rFonts w:ascii="Times New Roman" w:eastAsia="Times New Roman" w:hAnsi="Times New Roman" w:cs="Times New Roman"/>
                <w:color w:val="000000"/>
                <w:sz w:val="20"/>
                <w:szCs w:val="20"/>
                <w:lang w:eastAsia="id-ID"/>
              </w:rPr>
              <w:lastRenderedPageBreak/>
              <w:t xml:space="preserve">sampaikan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1</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lastRenderedPageBreak/>
              <w:t>CVa4</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Staf yang khusus ditugaskan menerima pengaduan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SOP penerimaan pengaduan sudah memadai?</w:t>
            </w:r>
          </w:p>
        </w:tc>
        <w:tc>
          <w:tcPr>
            <w:tcW w:w="1143"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Tidak ada dokumen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Biasanya yang menerima pengaduan  adalah sekretaris LSM PBB</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Isu dalam PGA REDD+</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VI. Infrastruktur REDD+</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 Jumlah LSM yang melakukan monitoring terhadap persiapan dan pelaksanaan REDD+</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(Pengurus), Satgas REDD+</w:t>
            </w:r>
            <w:r w:rsidRPr="00AD7F00">
              <w:rPr>
                <w:rFonts w:ascii="Times New Roman" w:eastAsia="Times New Roman" w:hAnsi="Times New Roman" w:cs="Times New Roman"/>
                <w:b/>
                <w:bCs/>
                <w:color w:val="000000"/>
                <w:sz w:val="20"/>
                <w:szCs w:val="20"/>
                <w:lang w:eastAsia="id-ID"/>
              </w:rPr>
              <w:br/>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255"/>
        </w:trPr>
        <w:tc>
          <w:tcPr>
            <w:tcW w:w="757" w:type="dxa"/>
            <w:vMerge w:val="restart"/>
            <w:tcBorders>
              <w:top w:val="nil"/>
              <w:left w:val="single" w:sz="4" w:space="0" w:color="auto"/>
              <w:bottom w:val="single" w:sz="4" w:space="0" w:color="000000"/>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CVIa1</w:t>
            </w:r>
          </w:p>
        </w:tc>
        <w:tc>
          <w:tcPr>
            <w:tcW w:w="1408" w:type="dxa"/>
            <w:vMerge w:val="restart"/>
            <w:tcBorders>
              <w:top w:val="nil"/>
              <w:left w:val="single" w:sz="4" w:space="0" w:color="auto"/>
              <w:bottom w:val="single" w:sz="4" w:space="0" w:color="000000"/>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Jumlah LSM yang melakukan monitoring terhadap persiapan dan pelaksanaan REDD+</w:t>
            </w:r>
          </w:p>
        </w:tc>
        <w:tc>
          <w:tcPr>
            <w:tcW w:w="1575" w:type="dxa"/>
            <w:vMerge w:val="restart"/>
            <w:tcBorders>
              <w:top w:val="nil"/>
              <w:left w:val="single" w:sz="4" w:space="0" w:color="auto"/>
              <w:bottom w:val="single" w:sz="4" w:space="0" w:color="000000"/>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Berapa jumlah monitoring terhadap persiapan dan pelaksanaan REDD+  yang dilakukan LSM?</w:t>
            </w:r>
          </w:p>
        </w:tc>
        <w:tc>
          <w:tcPr>
            <w:tcW w:w="1143" w:type="dxa"/>
            <w:tcBorders>
              <w:top w:val="nil"/>
              <w:left w:val="nil"/>
              <w:bottom w:val="single" w:sz="4" w:space="0" w:color="auto"/>
              <w:right w:val="single" w:sz="4" w:space="0" w:color="auto"/>
            </w:tcBorders>
            <w:shd w:val="clear" w:color="000000" w:fill="F2DDDC"/>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Satgas REDD+</w:t>
            </w:r>
          </w:p>
        </w:tc>
        <w:tc>
          <w:tcPr>
            <w:tcW w:w="6002" w:type="dxa"/>
            <w:gridSpan w:val="4"/>
            <w:tcBorders>
              <w:top w:val="single" w:sz="4" w:space="0" w:color="auto"/>
              <w:left w:val="nil"/>
              <w:bottom w:val="single" w:sz="4" w:space="0" w:color="auto"/>
              <w:right w:val="single" w:sz="4" w:space="0" w:color="000000"/>
            </w:tcBorders>
            <w:shd w:val="clear" w:color="000000" w:fill="F2DDDC"/>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w:t>
            </w:r>
          </w:p>
        </w:tc>
      </w:tr>
      <w:tr w:rsidR="00AD7F00" w:rsidRPr="00AD7F00" w:rsidTr="00AD7F00">
        <w:trPr>
          <w:trHeight w:val="1080"/>
        </w:trPr>
        <w:tc>
          <w:tcPr>
            <w:tcW w:w="757" w:type="dxa"/>
            <w:vMerge/>
            <w:tcBorders>
              <w:top w:val="nil"/>
              <w:left w:val="single" w:sz="4" w:space="0" w:color="auto"/>
              <w:bottom w:val="single" w:sz="4" w:space="0" w:color="000000"/>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vMerge/>
            <w:tcBorders>
              <w:top w:val="nil"/>
              <w:left w:val="single" w:sz="4" w:space="0" w:color="auto"/>
              <w:bottom w:val="single" w:sz="4" w:space="0" w:color="000000"/>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575" w:type="dxa"/>
            <w:vMerge/>
            <w:tcBorders>
              <w:top w:val="nil"/>
              <w:left w:val="single" w:sz="4" w:space="0" w:color="auto"/>
              <w:bottom w:val="single" w:sz="4" w:space="0" w:color="000000"/>
              <w:right w:val="single" w:sz="4" w:space="0" w:color="auto"/>
            </w:tcBorders>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tidak begitu jelas dengan pertanyaan ini.  Namun menjawab tidak ada yang memonitorin</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7145" w:type="dxa"/>
            <w:gridSpan w:val="5"/>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b. Tingkat pengetahuan aktivis LSM yang melakukan monitoring terhadap persiapan &amp; pelaksanaan REDD+</w:t>
            </w: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Wawancara – Sumber informasi</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LSM (Pengurus)</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CVIb1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Keikutsertaan dalam pelatihan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aktivis LSM memiliki bukti keikutsertaan dalam pelatihan?</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Laporan GTZ</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Informan pernah diundang tahun 2009 tapi tidak dapat memperlihatkan bukti undangan karena sudah lama.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CVIb2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Pemahaman mengenai REDD+</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pemahaman aktivis LSM mengenai REDD+ sudah memadai?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tidak banyak paham tentang REDD+</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CVIb3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Pemahaman terhadap prinsip &amp; prosedur</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pemahaman aktivis LSM terhadap prinsip &amp; prosedur sudah memadai?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paham</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510"/>
        </w:trPr>
        <w:tc>
          <w:tcPr>
            <w:tcW w:w="757" w:type="dxa"/>
            <w:tcBorders>
              <w:top w:val="nil"/>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CVIb4</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Strategi pelaksanaan monitoring</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strategi pelaksanaan moni-toring sudah memadai?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LSM</w:t>
            </w:r>
          </w:p>
        </w:tc>
        <w:tc>
          <w:tcPr>
            <w:tcW w:w="1501"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Ada dokumen</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Tidak memahami strategi monitoring REDD</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1</w:t>
            </w:r>
          </w:p>
        </w:tc>
      </w:tr>
      <w:tr w:rsidR="00AD7F00" w:rsidRPr="00AD7F00" w:rsidTr="00AD7F00">
        <w:trPr>
          <w:trHeight w:val="255"/>
        </w:trPr>
        <w:tc>
          <w:tcPr>
            <w:tcW w:w="757"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408" w:type="dxa"/>
            <w:tcBorders>
              <w:top w:val="nil"/>
              <w:left w:val="nil"/>
              <w:bottom w:val="nil"/>
              <w:right w:val="nil"/>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75"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143"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501"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c>
          <w:tcPr>
            <w:tcW w:w="1870" w:type="dxa"/>
            <w:tcBorders>
              <w:top w:val="nil"/>
              <w:left w:val="nil"/>
              <w:bottom w:val="nil"/>
              <w:right w:val="nil"/>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Indikator</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p>
        </w:tc>
        <w:tc>
          <w:tcPr>
            <w:tcW w:w="5763" w:type="dxa"/>
            <w:gridSpan w:val="4"/>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c. Jumlah media cetak yang secara teratur memberitakan persiapan atau pelaksanaan REDD+</w:t>
            </w: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p>
        </w:tc>
      </w:tr>
      <w:tr w:rsidR="00AD7F00" w:rsidRPr="00AD7F00" w:rsidTr="00AD7F00">
        <w:trPr>
          <w:trHeight w:val="255"/>
        </w:trPr>
        <w:tc>
          <w:tcPr>
            <w:tcW w:w="2165" w:type="dxa"/>
            <w:gridSpan w:val="2"/>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75"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2644" w:type="dxa"/>
            <w:gridSpan w:val="2"/>
            <w:tcBorders>
              <w:top w:val="nil"/>
              <w:left w:val="nil"/>
              <w:bottom w:val="nil"/>
              <w:right w:val="nil"/>
            </w:tcBorders>
            <w:shd w:val="clear" w:color="auto" w:fill="auto"/>
            <w:noWrap/>
            <w:vAlign w:val="center"/>
            <w:hideMark/>
          </w:tcPr>
          <w:p w:rsidR="00AD7F00" w:rsidRPr="00AD7F00" w:rsidRDefault="00AD7F00" w:rsidP="00AD7F00">
            <w:pPr>
              <w:spacing w:after="240" w:line="240" w:lineRule="auto"/>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 Artikel/kolom dalam Media Cetak</w:t>
            </w:r>
          </w:p>
        </w:tc>
        <w:tc>
          <w:tcPr>
            <w:tcW w:w="1249"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870"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b/>
                <w:bCs/>
                <w:color w:val="000000"/>
                <w:sz w:val="20"/>
                <w:szCs w:val="20"/>
                <w:lang w:eastAsia="id-ID"/>
              </w:rPr>
            </w:pPr>
          </w:p>
        </w:tc>
        <w:tc>
          <w:tcPr>
            <w:tcW w:w="1382" w:type="dxa"/>
            <w:tcBorders>
              <w:top w:val="nil"/>
              <w:left w:val="nil"/>
              <w:bottom w:val="nil"/>
              <w:right w:val="nil"/>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p>
        </w:tc>
      </w:tr>
      <w:tr w:rsidR="00AD7F00" w:rsidRPr="00AD7F00" w:rsidTr="00AD7F00">
        <w:trPr>
          <w:trHeight w:val="510"/>
        </w:trPr>
        <w:tc>
          <w:tcPr>
            <w:tcW w:w="75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Kode</w:t>
            </w:r>
          </w:p>
        </w:tc>
        <w:tc>
          <w:tcPr>
            <w:tcW w:w="1408"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Panduan Analisis Dokumen</w:t>
            </w:r>
          </w:p>
        </w:tc>
        <w:tc>
          <w:tcPr>
            <w:tcW w:w="1575"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Pertanyaan Wawancara</w:t>
            </w:r>
          </w:p>
        </w:tc>
        <w:tc>
          <w:tcPr>
            <w:tcW w:w="1143"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Sumber Data</w:t>
            </w:r>
          </w:p>
        </w:tc>
        <w:tc>
          <w:tcPr>
            <w:tcW w:w="1501"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Dokumen</w:t>
            </w:r>
          </w:p>
        </w:tc>
        <w:tc>
          <w:tcPr>
            <w:tcW w:w="1249"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Dokumen</w:t>
            </w:r>
          </w:p>
        </w:tc>
        <w:tc>
          <w:tcPr>
            <w:tcW w:w="1870"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Ringkasan Wawancara</w:t>
            </w:r>
          </w:p>
        </w:tc>
        <w:tc>
          <w:tcPr>
            <w:tcW w:w="1382" w:type="dxa"/>
            <w:tcBorders>
              <w:top w:val="single" w:sz="4" w:space="0" w:color="auto"/>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b/>
                <w:bCs/>
                <w:color w:val="000000"/>
                <w:sz w:val="20"/>
                <w:szCs w:val="20"/>
                <w:lang w:eastAsia="id-ID"/>
              </w:rPr>
            </w:pPr>
            <w:r w:rsidRPr="00AD7F00">
              <w:rPr>
                <w:rFonts w:ascii="Times New Roman" w:eastAsia="Times New Roman" w:hAnsi="Times New Roman" w:cs="Times New Roman"/>
                <w:b/>
                <w:bCs/>
                <w:color w:val="000000"/>
                <w:sz w:val="20"/>
                <w:szCs w:val="20"/>
                <w:lang w:eastAsia="id-ID"/>
              </w:rPr>
              <w:t>Kategori Data Wawancara</w:t>
            </w:r>
          </w:p>
        </w:tc>
      </w:tr>
      <w:tr w:rsidR="00AD7F00" w:rsidRPr="00AD7F00" w:rsidTr="00AD7F00">
        <w:trPr>
          <w:trHeight w:val="102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CVIc1</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Cakupan berita mengenai persiapan atau pelaksanaan REDD+ </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cakupan berita mengenai persiapan atau pelaksanaan REDD+ sudah memadai?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Hanya 1 berita yang ada tentang REDD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Pernah ada pemberitaan tentang Project Merang yang di danai GTZ,  ketika koordinasi dengan stakeholder local,  MARPP dan Bappeda</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127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CVIc2</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Kepastian hak dan akses bagi masyarakat adat/lokal dalam persiapan atau pelaksanaan REDD+</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pemberitaan mengenai kepastian hak dan akses bagi masya-rakat adat/lokal dalam persiapan atau pelaksanaan REDD+ sudah memadai?</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Hanya 1 berita yang ada tentang REDD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Pemberitaan tentang hak dan akses bagi masyarakat local kurang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r>
      <w:tr w:rsidR="00AD7F00" w:rsidRPr="00AD7F00" w:rsidTr="00AD7F00">
        <w:trPr>
          <w:trHeight w:val="765"/>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CVIc3</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Posisi berita (letak halaman pemberitaan)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posisi berita (letak halaman pemberitaan) sudah strategis?</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Hanya 1 berita yang ada tentang REDD </w:t>
            </w:r>
          </w:p>
        </w:tc>
        <w:tc>
          <w:tcPr>
            <w:tcW w:w="1249"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Hanya berita local </w:t>
            </w:r>
          </w:p>
        </w:tc>
        <w:tc>
          <w:tcPr>
            <w:tcW w:w="1382"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3</w:t>
            </w:r>
          </w:p>
        </w:tc>
      </w:tr>
      <w:tr w:rsidR="00AD7F00" w:rsidRPr="00AD7F00" w:rsidTr="00AD7F00">
        <w:trPr>
          <w:trHeight w:val="1020"/>
        </w:trPr>
        <w:tc>
          <w:tcPr>
            <w:tcW w:w="757" w:type="dxa"/>
            <w:tcBorders>
              <w:top w:val="nil"/>
              <w:left w:val="single" w:sz="4" w:space="0" w:color="auto"/>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CVIc4</w:t>
            </w:r>
          </w:p>
        </w:tc>
        <w:tc>
          <w:tcPr>
            <w:tcW w:w="1408"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Posisi media dalam pemberitaan</w:t>
            </w:r>
          </w:p>
        </w:tc>
        <w:tc>
          <w:tcPr>
            <w:tcW w:w="1575"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Apakah posisi media dalam pemberi-taan mendukung persiapan atau pelaksanaan REDD+?</w:t>
            </w:r>
          </w:p>
        </w:tc>
        <w:tc>
          <w:tcPr>
            <w:tcW w:w="1143"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Jurnalis</w:t>
            </w:r>
          </w:p>
        </w:tc>
        <w:tc>
          <w:tcPr>
            <w:tcW w:w="1501" w:type="dxa"/>
            <w:tcBorders>
              <w:top w:val="nil"/>
              <w:left w:val="nil"/>
              <w:bottom w:val="single" w:sz="4" w:space="0" w:color="auto"/>
              <w:right w:val="single" w:sz="4" w:space="0" w:color="auto"/>
            </w:tcBorders>
            <w:shd w:val="clear" w:color="auto" w:fill="auto"/>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xml:space="preserve">Hanya 1 berita yang ada tentang REDD </w:t>
            </w:r>
          </w:p>
        </w:tc>
        <w:tc>
          <w:tcPr>
            <w:tcW w:w="1249" w:type="dxa"/>
            <w:tcBorders>
              <w:top w:val="nil"/>
              <w:left w:val="nil"/>
              <w:bottom w:val="single" w:sz="4" w:space="0" w:color="auto"/>
              <w:right w:val="single" w:sz="4" w:space="0" w:color="auto"/>
            </w:tcBorders>
            <w:shd w:val="clear" w:color="auto" w:fill="auto"/>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2</w:t>
            </w:r>
          </w:p>
        </w:tc>
        <w:tc>
          <w:tcPr>
            <w:tcW w:w="1870" w:type="dxa"/>
            <w:tcBorders>
              <w:top w:val="nil"/>
              <w:left w:val="nil"/>
              <w:bottom w:val="single" w:sz="4" w:space="0" w:color="auto"/>
              <w:right w:val="single" w:sz="4" w:space="0" w:color="auto"/>
            </w:tcBorders>
            <w:shd w:val="clear" w:color="000000" w:fill="FFFF00"/>
            <w:vAlign w:val="center"/>
            <w:hideMark/>
          </w:tcPr>
          <w:p w:rsidR="00AD7F00" w:rsidRPr="00AD7F00" w:rsidRDefault="00AD7F00" w:rsidP="00AD7F00">
            <w:pPr>
              <w:spacing w:after="0" w:line="240" w:lineRule="auto"/>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Informan tidak menjawab</w:t>
            </w:r>
          </w:p>
        </w:tc>
        <w:tc>
          <w:tcPr>
            <w:tcW w:w="1382" w:type="dxa"/>
            <w:tcBorders>
              <w:top w:val="nil"/>
              <w:left w:val="nil"/>
              <w:bottom w:val="single" w:sz="4" w:space="0" w:color="auto"/>
              <w:right w:val="single" w:sz="4" w:space="0" w:color="auto"/>
            </w:tcBorders>
            <w:shd w:val="clear" w:color="000000" w:fill="FFFF00"/>
            <w:noWrap/>
            <w:vAlign w:val="center"/>
            <w:hideMark/>
          </w:tcPr>
          <w:p w:rsidR="00AD7F00" w:rsidRPr="00AD7F00" w:rsidRDefault="00AD7F00" w:rsidP="00AD7F00">
            <w:pPr>
              <w:spacing w:after="0" w:line="240" w:lineRule="auto"/>
              <w:jc w:val="center"/>
              <w:rPr>
                <w:rFonts w:ascii="Times New Roman" w:eastAsia="Times New Roman" w:hAnsi="Times New Roman" w:cs="Times New Roman"/>
                <w:color w:val="000000"/>
                <w:sz w:val="20"/>
                <w:szCs w:val="20"/>
                <w:lang w:eastAsia="id-ID"/>
              </w:rPr>
            </w:pPr>
            <w:r w:rsidRPr="00AD7F00">
              <w:rPr>
                <w:rFonts w:ascii="Times New Roman" w:eastAsia="Times New Roman" w:hAnsi="Times New Roman" w:cs="Times New Roman"/>
                <w:color w:val="000000"/>
                <w:sz w:val="20"/>
                <w:szCs w:val="20"/>
                <w:lang w:eastAsia="id-ID"/>
              </w:rPr>
              <w:t> </w:t>
            </w:r>
          </w:p>
        </w:tc>
      </w:tr>
    </w:tbl>
    <w:p w:rsidR="00AD7F00" w:rsidRDefault="00AD7F00"/>
    <w:sectPr w:rsidR="00AD7F00" w:rsidSect="00A91768">
      <w:pgSz w:w="11906" w:h="16838"/>
      <w:pgMar w:top="1134" w:right="567" w:bottom="1134"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defaultTabStop w:val="720"/>
  <w:characterSpacingControl w:val="doNotCompress"/>
  <w:compat/>
  <w:rsids>
    <w:rsidRoot w:val="00A91768"/>
    <w:rsid w:val="0026067C"/>
    <w:rsid w:val="00265D91"/>
    <w:rsid w:val="004165D1"/>
    <w:rsid w:val="004570C7"/>
    <w:rsid w:val="005D2D3D"/>
    <w:rsid w:val="006E5970"/>
    <w:rsid w:val="009F3E98"/>
    <w:rsid w:val="00A91768"/>
    <w:rsid w:val="00AD7F00"/>
    <w:rsid w:val="00BB5203"/>
    <w:rsid w:val="00D74DB4"/>
    <w:rsid w:val="00F1768F"/>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65D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A91768"/>
    <w:rPr>
      <w:color w:val="0000FF"/>
      <w:u w:val="single"/>
    </w:rPr>
  </w:style>
  <w:style w:type="character" w:styleId="FollowedHyperlink">
    <w:name w:val="FollowedHyperlink"/>
    <w:basedOn w:val="DefaultParagraphFont"/>
    <w:uiPriority w:val="99"/>
    <w:semiHidden/>
    <w:unhideWhenUsed/>
    <w:rsid w:val="00A91768"/>
    <w:rPr>
      <w:color w:val="800080"/>
      <w:u w:val="single"/>
    </w:rPr>
  </w:style>
  <w:style w:type="paragraph" w:customStyle="1" w:styleId="xl65">
    <w:name w:val="xl65"/>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66">
    <w:name w:val="xl66"/>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67">
    <w:name w:val="xl6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68">
    <w:name w:val="xl6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69">
    <w:name w:val="xl69"/>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id-ID"/>
    </w:rPr>
  </w:style>
  <w:style w:type="paragraph" w:customStyle="1" w:styleId="xl70">
    <w:name w:val="xl7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1">
    <w:name w:val="xl71"/>
    <w:basedOn w:val="Normal"/>
    <w:rsid w:val="00A91768"/>
    <w:pP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2">
    <w:name w:val="xl7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3">
    <w:name w:val="xl7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pPr>
    <w:rPr>
      <w:rFonts w:ascii="Times New Roman" w:eastAsia="Times New Roman" w:hAnsi="Times New Roman" w:cs="Times New Roman"/>
      <w:color w:val="000000"/>
      <w:sz w:val="20"/>
      <w:szCs w:val="20"/>
      <w:lang w:eastAsia="id-ID"/>
    </w:rPr>
  </w:style>
  <w:style w:type="paragraph" w:customStyle="1" w:styleId="xl74">
    <w:name w:val="xl7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5">
    <w:name w:val="xl7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76">
    <w:name w:val="xl76"/>
    <w:basedOn w:val="Normal"/>
    <w:rsid w:val="00A91768"/>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77">
    <w:name w:val="xl77"/>
    <w:basedOn w:val="Normal"/>
    <w:rsid w:val="00A91768"/>
    <w:pP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8">
    <w:name w:val="xl78"/>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79">
    <w:name w:val="xl79"/>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0">
    <w:name w:val="xl80"/>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1">
    <w:name w:val="xl81"/>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2">
    <w:name w:val="xl82"/>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3">
    <w:name w:val="xl83"/>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4">
    <w:name w:val="xl84"/>
    <w:basedOn w:val="Normal"/>
    <w:rsid w:val="00A91768"/>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20"/>
      <w:szCs w:val="20"/>
      <w:lang w:eastAsia="id-ID"/>
    </w:rPr>
  </w:style>
  <w:style w:type="paragraph" w:customStyle="1" w:styleId="xl85">
    <w:name w:val="xl85"/>
    <w:basedOn w:val="Normal"/>
    <w:rsid w:val="00A91768"/>
    <w:pP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6">
    <w:name w:val="xl86"/>
    <w:basedOn w:val="Normal"/>
    <w:rsid w:val="00A91768"/>
    <w:pPr>
      <w:pBdr>
        <w:bottom w:val="single" w:sz="4" w:space="0" w:color="auto"/>
      </w:pBdr>
      <w:spacing w:before="100" w:beforeAutospacing="1" w:after="100" w:afterAutospacing="1" w:line="240" w:lineRule="auto"/>
      <w:textAlignment w:val="center"/>
    </w:pPr>
    <w:rPr>
      <w:rFonts w:ascii="Times New Roman" w:eastAsia="Times New Roman" w:hAnsi="Times New Roman" w:cs="Times New Roman"/>
      <w:b/>
      <w:bCs/>
      <w:sz w:val="20"/>
      <w:szCs w:val="20"/>
      <w:lang w:eastAsia="id-ID"/>
    </w:rPr>
  </w:style>
  <w:style w:type="paragraph" w:customStyle="1" w:styleId="xl87">
    <w:name w:val="xl87"/>
    <w:basedOn w:val="Normal"/>
    <w:rsid w:val="00A91768"/>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8">
    <w:name w:val="xl88"/>
    <w:basedOn w:val="Normal"/>
    <w:rsid w:val="00A91768"/>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id-ID"/>
    </w:rPr>
  </w:style>
  <w:style w:type="paragraph" w:customStyle="1" w:styleId="xl89">
    <w:name w:val="xl89"/>
    <w:basedOn w:val="Normal"/>
    <w:rsid w:val="00265D91"/>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0">
    <w:name w:val="xl90"/>
    <w:basedOn w:val="Normal"/>
    <w:rsid w:val="00265D91"/>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1">
    <w:name w:val="xl91"/>
    <w:basedOn w:val="Normal"/>
    <w:rsid w:val="00265D91"/>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2">
    <w:name w:val="xl92"/>
    <w:basedOn w:val="Normal"/>
    <w:rsid w:val="00265D91"/>
    <w:pPr>
      <w:pBdr>
        <w:top w:val="single" w:sz="4" w:space="0" w:color="auto"/>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93">
    <w:name w:val="xl93"/>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4">
    <w:name w:val="xl94"/>
    <w:basedOn w:val="Normal"/>
    <w:rsid w:val="00265D91"/>
    <w:pPr>
      <w:pBdr>
        <w:top w:val="single" w:sz="4" w:space="0" w:color="auto"/>
        <w:left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sz w:val="20"/>
      <w:szCs w:val="20"/>
      <w:lang w:eastAsia="id-ID"/>
    </w:rPr>
  </w:style>
  <w:style w:type="paragraph" w:customStyle="1" w:styleId="xl95">
    <w:name w:val="xl95"/>
    <w:basedOn w:val="Normal"/>
    <w:rsid w:val="00265D91"/>
    <w:pPr>
      <w:pBdr>
        <w:top w:val="single" w:sz="4" w:space="0" w:color="auto"/>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6">
    <w:name w:val="xl96"/>
    <w:basedOn w:val="Normal"/>
    <w:rsid w:val="00265D91"/>
    <w:pPr>
      <w:pBdr>
        <w:top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7">
    <w:name w:val="xl97"/>
    <w:basedOn w:val="Normal"/>
    <w:rsid w:val="00265D91"/>
    <w:pPr>
      <w:pBdr>
        <w:top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8">
    <w:name w:val="xl98"/>
    <w:basedOn w:val="Normal"/>
    <w:rsid w:val="00265D91"/>
    <w:pPr>
      <w:pBdr>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99">
    <w:name w:val="xl99"/>
    <w:basedOn w:val="Normal"/>
    <w:rsid w:val="00265D91"/>
    <w:pPr>
      <w:pBdr>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0">
    <w:name w:val="xl100"/>
    <w:basedOn w:val="Normal"/>
    <w:rsid w:val="00265D91"/>
    <w:pPr>
      <w:pBdr>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1">
    <w:name w:val="xl101"/>
    <w:basedOn w:val="Normal"/>
    <w:rsid w:val="00265D91"/>
    <w:pPr>
      <w:pBdr>
        <w:lef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2">
    <w:name w:val="xl102"/>
    <w:basedOn w:val="Normal"/>
    <w:rsid w:val="00265D91"/>
    <w:pP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3">
    <w:name w:val="xl103"/>
    <w:basedOn w:val="Normal"/>
    <w:rsid w:val="00265D91"/>
    <w:pPr>
      <w:pBdr>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4">
    <w:name w:val="xl104"/>
    <w:basedOn w:val="Normal"/>
    <w:rsid w:val="00265D91"/>
    <w:pPr>
      <w:pBdr>
        <w:top w:val="single" w:sz="4" w:space="0" w:color="auto"/>
        <w:left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5">
    <w:name w:val="xl105"/>
    <w:basedOn w:val="Normal"/>
    <w:rsid w:val="00265D91"/>
    <w:pPr>
      <w:pBdr>
        <w:top w:val="single" w:sz="4" w:space="0" w:color="auto"/>
        <w:bottom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6">
    <w:name w:val="xl106"/>
    <w:basedOn w:val="Normal"/>
    <w:rsid w:val="00265D91"/>
    <w:pPr>
      <w:pBdr>
        <w:top w:val="single" w:sz="4" w:space="0" w:color="auto"/>
        <w:bottom w:val="single" w:sz="4" w:space="0" w:color="auto"/>
        <w:right w:val="single" w:sz="4" w:space="0" w:color="auto"/>
      </w:pBdr>
      <w:shd w:val="clear" w:color="000000" w:fill="F2DDDC"/>
      <w:spacing w:before="100" w:beforeAutospacing="1" w:after="100" w:afterAutospacing="1" w:line="240" w:lineRule="auto"/>
      <w:jc w:val="center"/>
      <w:textAlignment w:val="top"/>
    </w:pPr>
    <w:rPr>
      <w:rFonts w:ascii="Times New Roman" w:eastAsia="Times New Roman" w:hAnsi="Times New Roman" w:cs="Times New Roman"/>
      <w:b/>
      <w:bCs/>
      <w:sz w:val="20"/>
      <w:szCs w:val="20"/>
      <w:lang w:eastAsia="id-ID"/>
    </w:rPr>
  </w:style>
  <w:style w:type="paragraph" w:customStyle="1" w:styleId="xl107">
    <w:name w:val="xl107"/>
    <w:basedOn w:val="Normal"/>
    <w:rsid w:val="00265D91"/>
    <w:pPr>
      <w:pBdr>
        <w:bottom w:val="single" w:sz="4" w:space="0" w:color="auto"/>
      </w:pBd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8">
    <w:name w:val="xl108"/>
    <w:basedOn w:val="Normal"/>
    <w:rsid w:val="00265D91"/>
    <w:pPr>
      <w:spacing w:before="100" w:beforeAutospacing="1" w:after="100" w:afterAutospacing="1" w:line="240" w:lineRule="auto"/>
      <w:textAlignment w:val="top"/>
    </w:pPr>
    <w:rPr>
      <w:rFonts w:ascii="Times New Roman" w:eastAsia="Times New Roman" w:hAnsi="Times New Roman" w:cs="Times New Roman"/>
      <w:b/>
      <w:bCs/>
      <w:sz w:val="20"/>
      <w:szCs w:val="20"/>
      <w:lang w:eastAsia="id-ID"/>
    </w:rPr>
  </w:style>
  <w:style w:type="paragraph" w:customStyle="1" w:styleId="xl109">
    <w:name w:val="xl109"/>
    <w:basedOn w:val="Normal"/>
    <w:rsid w:val="00265D91"/>
    <w:pPr>
      <w:pBdr>
        <w:left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 w:type="paragraph" w:customStyle="1" w:styleId="xl110">
    <w:name w:val="xl110"/>
    <w:basedOn w:val="Normal"/>
    <w:rsid w:val="00265D91"/>
    <w:pPr>
      <w:pBdr>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cs="Times New Roman"/>
      <w:sz w:val="20"/>
      <w:szCs w:val="20"/>
      <w:lang w:eastAsia="id-ID"/>
    </w:rPr>
  </w:style>
</w:styles>
</file>

<file path=word/webSettings.xml><?xml version="1.0" encoding="utf-8"?>
<w:webSettings xmlns:r="http://schemas.openxmlformats.org/officeDocument/2006/relationships" xmlns:w="http://schemas.openxmlformats.org/wordprocessingml/2006/main">
  <w:divs>
    <w:div w:id="365646223">
      <w:bodyDiv w:val="1"/>
      <w:marLeft w:val="0"/>
      <w:marRight w:val="0"/>
      <w:marTop w:val="0"/>
      <w:marBottom w:val="0"/>
      <w:divBdr>
        <w:top w:val="none" w:sz="0" w:space="0" w:color="auto"/>
        <w:left w:val="none" w:sz="0" w:space="0" w:color="auto"/>
        <w:bottom w:val="none" w:sz="0" w:space="0" w:color="auto"/>
        <w:right w:val="none" w:sz="0" w:space="0" w:color="auto"/>
      </w:divBdr>
    </w:div>
    <w:div w:id="380594513">
      <w:bodyDiv w:val="1"/>
      <w:marLeft w:val="0"/>
      <w:marRight w:val="0"/>
      <w:marTop w:val="0"/>
      <w:marBottom w:val="0"/>
      <w:divBdr>
        <w:top w:val="none" w:sz="0" w:space="0" w:color="auto"/>
        <w:left w:val="none" w:sz="0" w:space="0" w:color="auto"/>
        <w:bottom w:val="none" w:sz="0" w:space="0" w:color="auto"/>
        <w:right w:val="none" w:sz="0" w:space="0" w:color="auto"/>
      </w:divBdr>
    </w:div>
    <w:div w:id="534124412">
      <w:bodyDiv w:val="1"/>
      <w:marLeft w:val="0"/>
      <w:marRight w:val="0"/>
      <w:marTop w:val="0"/>
      <w:marBottom w:val="0"/>
      <w:divBdr>
        <w:top w:val="none" w:sz="0" w:space="0" w:color="auto"/>
        <w:left w:val="none" w:sz="0" w:space="0" w:color="auto"/>
        <w:bottom w:val="none" w:sz="0" w:space="0" w:color="auto"/>
        <w:right w:val="none" w:sz="0" w:space="0" w:color="auto"/>
      </w:divBdr>
    </w:div>
    <w:div w:id="816997941">
      <w:bodyDiv w:val="1"/>
      <w:marLeft w:val="0"/>
      <w:marRight w:val="0"/>
      <w:marTop w:val="0"/>
      <w:marBottom w:val="0"/>
      <w:divBdr>
        <w:top w:val="none" w:sz="0" w:space="0" w:color="auto"/>
        <w:left w:val="none" w:sz="0" w:space="0" w:color="auto"/>
        <w:bottom w:val="none" w:sz="0" w:space="0" w:color="auto"/>
        <w:right w:val="none" w:sz="0" w:space="0" w:color="auto"/>
      </w:divBdr>
    </w:div>
    <w:div w:id="161540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TotalTime>
  <Pages>20</Pages>
  <Words>5450</Words>
  <Characters>31067</Characters>
  <Application>Microsoft Office Word</Application>
  <DocSecurity>0</DocSecurity>
  <Lines>258</Lines>
  <Paragraphs>72</Paragraphs>
  <ScaleCrop>false</ScaleCrop>
  <Company/>
  <LinksUpToDate>false</LinksUpToDate>
  <CharactersWithSpaces>36445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DEWY MISMARITA M</dc:creator>
  <cp:lastModifiedBy>DEWY MISMARITA M</cp:lastModifiedBy>
  <cp:revision>4</cp:revision>
  <dcterms:created xsi:type="dcterms:W3CDTF">2012-10-16T01:42:00Z</dcterms:created>
  <dcterms:modified xsi:type="dcterms:W3CDTF">2012-10-16T06:54:00Z</dcterms:modified>
</cp:coreProperties>
</file>